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+xml" PartName="/word/comments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Relationship Id="rId5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w10="urn:schemas-microsoft-com:office:word" xmlns:wp="http://schemas.openxmlformats.org/drawingml/2006/wordprocessingDrawing">
  <w:body>
    <w:p>
      <w:pPr>
        <w:pStyle w:val="FirstParagraph"/>
      </w:pPr>
      <w:r>
        <w:rPr>
          <w:rFonts w:hint="eastAsia"/>
        </w:rPr>
        <w:t xml:space="preserve">以下是为您整理的17点金融软件核心需求场景阐述，已按照结构化格式排版，方便您直接保存为txt文本：</w:t>
      </w:r>
    </w:p>
    <w:p>
      <w:pPr>
        <w:pStyle w:val="BodyText"/>
      </w:pPr>
      <w:r>
        <w:t xml:space="preserve">=====================================================</w:t>
      </w:r>
      <w:r>
        <w:br/>
      </w:r>
      <w:r>
        <w:rPr>
          <w:rFonts w:hint="eastAsia"/>
        </w:rPr>
        <w:t xml:space="preserve">金融智能管家系统：核心需求场景阐述清单</w:t>
      </w:r>
      <w:r>
        <w:br/>
      </w:r>
      <w:r>
        <w:t xml:space="preserve">=====================================================</w:t>
      </w:r>
    </w:p>
    <w:p>
      <w:pPr>
        <w:pStyle w:val="BodyText"/>
      </w:pPr>
      <w:r>
        <w:rPr>
          <w:rFonts w:hint="eastAsia"/>
        </w:rPr>
        <w:t xml:space="preserve">【一、</w:t>
      </w:r>
      <w:r>
        <w:t xml:space="preserve"> </w:t>
      </w:r>
      <w:r>
        <w:rPr>
          <w:rFonts w:hint="eastAsia"/>
        </w:rPr>
        <w:t xml:space="preserve">基础信息与数据监控模块】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实时看盘功能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需求阐述：提供全市场（股票、基金、债券等）的毫秒级实时行情数据。支持K线图、分时图、盘口挂单、资金流向等多维度的可视化展示，满足用户随时掌握市场动态的需求。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资金流转与持仓分布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需求阐述：清晰记录并展示用户资金的转入、转出明细。提供直观的资产分布图表（如饼图、桑基图），展示目前投资的资金分布比例，并支持持有仓位的快速转换操作。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交易规则与走势分析参考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需求阐述：针对各个股票及金融产品，提供详尽的交易规则说明（如T+1、涨跌幅限制等）。同时，结合技术指标与基本面数据，为用户提供客观的走势分析参考。</w:t>
      </w:r>
    </w:p>
    <w:p>
      <w:pPr>
        <w:pStyle w:val="FirstParagraph"/>
      </w:pPr>
      <w:r>
        <w:rPr>
          <w:rFonts w:hint="eastAsia"/>
        </w:rPr>
        <w:t xml:space="preserve">【二、</w:t>
      </w:r>
      <w:r>
        <w:t xml:space="preserve"> </w:t>
      </w:r>
      <w:r>
        <w:rPr>
          <w:rFonts w:hint="eastAsia"/>
        </w:rPr>
        <w:t xml:space="preserve">智能投研与产品推荐模块】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基金深度介绍与推荐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需求阐述：不仅展示基金的基础信息，还需深度剖析基金的主力投入方向（重仓行业/个股）。提供最近一段时长（如近1月、近3月、近1年）的基金业绩走势图，帮助用户直观了解其盈利能力。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基金经理履历与收益追踪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需求阐述：针对基金的实际管理人，提供详尽的历史管理履历。展示其过往管理的所有基金产品的收益率、最大回撤、任职回报等核心数据，帮助用户评估基金经理的真实水平。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个性化理财产品推荐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需求阐述：基于用户的资金规模、流动性需求和风险偏好，智能筛选并推荐匹配的理财产品（如固收+、大额存单、保险理财等），实现“千人千面”的精准营销。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风险投资预警与提醒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需求阐述：当市场出现剧烈波动、宏观政策突变或用户持仓标的出现重大利空时，系统需第一时间向用户推送风险提示，防范极端行情带来的损失。</w:t>
      </w:r>
    </w:p>
    <w:p>
      <w:pPr>
        <w:pStyle w:val="FirstParagraph"/>
      </w:pPr>
      <w:r>
        <w:rPr>
          <w:rFonts w:hint="eastAsia"/>
        </w:rPr>
        <w:t xml:space="preserve">【三、</w:t>
      </w:r>
      <w:r>
        <w:t xml:space="preserve"> </w:t>
      </w:r>
      <w:r>
        <w:rPr>
          <w:rFonts w:hint="eastAsia"/>
        </w:rPr>
        <w:t xml:space="preserve">个性化画像与资产配置模块】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投资风格测评与股票匹配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需求阐述：通过专业的问卷与行为数据分析，精准刻画用户的投资风格（如价值型、成长型、趋势型等）。基于该风格标签，为用户定向推荐符合其投资逻辑的股票标的。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专属资金比例规划与预警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需求阐述：根据用户的投资风格和目标，量身定制资产配置方案（如股债比例、加仓资金比例）。当用户的实际操作偏离规划比例，或超过设定的投资计划时，系统自动触发提醒，防止盲目投资。</w:t>
      </w:r>
    </w:p>
    <w:p>
      <w:pPr>
        <w:pStyle w:val="FirstParagraph"/>
      </w:pPr>
      <w:r>
        <w:rPr>
          <w:rFonts w:hint="eastAsia"/>
        </w:rPr>
        <w:t xml:space="preserve">【四、</w:t>
      </w:r>
      <w:r>
        <w:t xml:space="preserve"> </w:t>
      </w:r>
      <w:r>
        <w:rPr>
          <w:rFonts w:hint="eastAsia"/>
        </w:rPr>
        <w:t xml:space="preserve">智能风控与自动化交易模块】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持仓风控监测与动态提醒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需求阐述：实时监测用户持有仓位的盈亏情况。当本金下降比例达到用户预设的阈值（如-10%、-20%）时，系统自动触发预警，并结合当前市场环境，提供“加仓摊低成本”或“止损撤盘”的客观建议。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深度投后复盘与归因分析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需求阐述：解决用户“不知道钱是怎么赚/亏的”痛点。系统自动分析账户的盈亏归因（行业配置、个股选择、择时能力等），生成个性化的日/周/月度投资复盘报告，帮助用户迭代投资体系。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智能条件单与自动化执行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需求阐述：提供云端7×24小时监控的自动化交易工具。支持网格交易、拐点买入、止盈止损等条件单设置，条件触发后毫秒级自动执行，帮助用户克服人性弱点，避免情绪化交易。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宏观资讯与持仓关联解读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需求阐述：过滤海量市场噪音，基于用户的持仓结构，精准推送强相关的宏观政策、行业研报或突发事件。利用AI分析事件对持仓标的的传导链路，提供结构化的应对建议，缓解信息焦虑。</w:t>
      </w:r>
    </w:p>
    <w:p>
      <w:pPr>
        <w:pStyle w:val="FirstParagraph"/>
      </w:pPr>
      <w:r>
        <w:rPr>
          <w:rFonts w:hint="eastAsia"/>
        </w:rPr>
        <w:t xml:space="preserve">【五、</w:t>
      </w:r>
      <w:r>
        <w:t xml:space="preserve"> </w:t>
      </w:r>
      <w:r>
        <w:rPr>
          <w:rFonts w:hint="eastAsia"/>
        </w:rPr>
        <w:t xml:space="preserve">全景财富管理与生态服务模块】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家庭全景资产视图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需求阐述：支持跨账户、跨平台（股票、基金、银行理财、房产等）的资产一键导入与全景盘点。提供家庭资产负债分布图，并支持为家人设立专属的“心愿账户”（如子女教育金、养老金），实现家庭财富统筹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社区情绪感知与观点碰撞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需求阐述：聚合全网大V观点与散户社区讨论，提炼当前市场的“情绪温度计”。结构化展示特定标的看多/看空的核心逻辑，帮助用户打破信息茧房，在震荡市中保持理性。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跨境与全球资产配置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需求阐述：提供一站式的跨境投资通道与汇率换算工具。展示全球宏观数据看板，帮助用户实现跨市场、跨币种（如美股、港股、全球大宗商品）的多元化资产配置，分散单一市场风险。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专属税务与合规提醒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需求阐述：针对高净值用户或特定产品，提供税务筹划建议和合规提醒。自动计算交易过程中的税费成本，提示个人养老金抵扣额度、基金分红税务规则等，帮用户降低隐性成本。</w:t>
      </w:r>
    </w:p>
    <w:p>
      <w:pPr>
        <w:pStyle w:val="FirstParagraph"/>
      </w:pPr>
      <w:r>
        <w:t xml:space="preserve">=====================================================</w:t>
      </w:r>
    </w:p>
    <w:p>
      <w:pPr>
        <w:jc w:val="left"/>
      </w:pPr>
      <w:r>
        <w:rPr/>
        <w:t>(AI生成)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2">
    <w:nsid w:val="00A9920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2"/>
      <w:numFmt w:val="lowerRoman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lowerLetter"/>
      <w:lvlText w:val="%5."/>
      <w:lvlJc w:val="left"/>
      <w:pPr>
        <w:ind w:left="3600" w:hanging="360"/>
      </w:pPr>
    </w:lvl>
    <w:lvl w:ilvl="5">
      <w:start w:val="2"/>
      <w:numFmt w:val="lowerRoman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lowerLetter"/>
      <w:lvlText w:val="%8."/>
      <w:lvlJc w:val="left"/>
      <w:pPr>
        <w:ind w:left="5760" w:hanging="360"/>
      </w:pPr>
    </w:lvl>
    <w:lvl w:ilvl="8">
      <w:start w:val="2"/>
      <w:numFmt w:val="lowerRoman"/>
      <w:lvlText w:val="%9."/>
      <w:lvlJc w:val="left"/>
      <w:pPr>
        <w:ind w:left="6480" w:hanging="360"/>
      </w:pPr>
    </w:lvl>
  </w:abstractNum>
  <w:abstractNum w:abstractNumId="99203">
    <w:nsid w:val="00A9920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Roman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Roman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Roman"/>
      <w:lvlText w:val="%9."/>
      <w:lvlJc w:val="left"/>
      <w:pPr>
        <w:ind w:left="6480" w:hanging="360"/>
      </w:pPr>
    </w:lvl>
  </w:abstractNum>
  <w:abstractNum w:abstractNumId="99204">
    <w:nsid w:val="00A9920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lowerLetter"/>
      <w:lvlText w:val="%2."/>
      <w:lvlJc w:val="left"/>
      <w:pPr>
        <w:ind w:left="1440" w:hanging="360"/>
      </w:pPr>
    </w:lvl>
    <w:lvl w:ilvl="2">
      <w:start w:val="4"/>
      <w:numFmt w:val="lowerRoman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lowerLetter"/>
      <w:lvlText w:val="%5."/>
      <w:lvlJc w:val="left"/>
      <w:pPr>
        <w:ind w:left="3600" w:hanging="360"/>
      </w:pPr>
    </w:lvl>
    <w:lvl w:ilvl="5">
      <w:start w:val="4"/>
      <w:numFmt w:val="lowerRoman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lowerLetter"/>
      <w:lvlText w:val="%8."/>
      <w:lvlJc w:val="left"/>
      <w:pPr>
        <w:ind w:left="5760" w:hanging="360"/>
      </w:pPr>
    </w:lvl>
    <w:lvl w:ilvl="8">
      <w:start w:val="4"/>
      <w:numFmt w:val="lowerRoman"/>
      <w:lvlText w:val="%9."/>
      <w:lvlJc w:val="left"/>
      <w:pPr>
        <w:ind w:left="6480" w:hanging="360"/>
      </w:pPr>
    </w:lvl>
  </w:abstractNum>
  <w:abstractNum w:abstractNumId="99205">
    <w:nsid w:val="00A9920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lowerLetter"/>
      <w:lvlText w:val="%2."/>
      <w:lvlJc w:val="left"/>
      <w:pPr>
        <w:ind w:left="1440" w:hanging="360"/>
      </w:pPr>
    </w:lvl>
    <w:lvl w:ilvl="2">
      <w:start w:val="5"/>
      <w:numFmt w:val="lowerRoman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lowerLetter"/>
      <w:lvlText w:val="%5."/>
      <w:lvlJc w:val="left"/>
      <w:pPr>
        <w:ind w:left="3600" w:hanging="360"/>
      </w:pPr>
    </w:lvl>
    <w:lvl w:ilvl="5">
      <w:start w:val="5"/>
      <w:numFmt w:val="lowerRoman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lowerLetter"/>
      <w:lvlText w:val="%8."/>
      <w:lvlJc w:val="left"/>
      <w:pPr>
        <w:ind w:left="5760" w:hanging="360"/>
      </w:pPr>
    </w:lvl>
    <w:lvl w:ilvl="8">
      <w:start w:val="5"/>
      <w:numFmt w:val="lowerRoman"/>
      <w:lvlText w:val="%9."/>
      <w:lvlJc w:val="left"/>
      <w:pPr>
        <w:ind w:left="6480" w:hanging="360"/>
      </w:pPr>
    </w:lvl>
  </w:abstractNum>
  <w:abstractNum w:abstractNumId="99206">
    <w:nsid w:val="00A9920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lowerLetter"/>
      <w:lvlText w:val="%2."/>
      <w:lvlJc w:val="left"/>
      <w:pPr>
        <w:ind w:left="1440" w:hanging="360"/>
      </w:pPr>
    </w:lvl>
    <w:lvl w:ilvl="2">
      <w:start w:val="6"/>
      <w:numFmt w:val="lowerRoman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lowerLetter"/>
      <w:lvlText w:val="%5."/>
      <w:lvlJc w:val="left"/>
      <w:pPr>
        <w:ind w:left="3600" w:hanging="360"/>
      </w:pPr>
    </w:lvl>
    <w:lvl w:ilvl="5">
      <w:start w:val="6"/>
      <w:numFmt w:val="lowerRoman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lowerLetter"/>
      <w:lvlText w:val="%8."/>
      <w:lvlJc w:val="left"/>
      <w:pPr>
        <w:ind w:left="5760" w:hanging="360"/>
      </w:pPr>
    </w:lvl>
    <w:lvl w:ilvl="8">
      <w:start w:val="6"/>
      <w:numFmt w:val="lowerRoman"/>
      <w:lvlText w:val="%9."/>
      <w:lvlJc w:val="left"/>
      <w:pPr>
        <w:ind w:left="6480" w:hanging="360"/>
      </w:pPr>
    </w:lvl>
  </w:abstractNum>
  <w:abstractNum w:abstractNumId="99207">
    <w:nsid w:val="00A9920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lowerLetter"/>
      <w:lvlText w:val="%2."/>
      <w:lvlJc w:val="left"/>
      <w:pPr>
        <w:ind w:left="1440" w:hanging="360"/>
      </w:pPr>
    </w:lvl>
    <w:lvl w:ilvl="2">
      <w:start w:val="7"/>
      <w:numFmt w:val="lowerRoman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lowerLetter"/>
      <w:lvlText w:val="%5."/>
      <w:lvlJc w:val="left"/>
      <w:pPr>
        <w:ind w:left="3600" w:hanging="360"/>
      </w:pPr>
    </w:lvl>
    <w:lvl w:ilvl="5">
      <w:start w:val="7"/>
      <w:numFmt w:val="lowerRoman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lowerLetter"/>
      <w:lvlText w:val="%8."/>
      <w:lvlJc w:val="left"/>
      <w:pPr>
        <w:ind w:left="5760" w:hanging="360"/>
      </w:pPr>
    </w:lvl>
    <w:lvl w:ilvl="8">
      <w:start w:val="7"/>
      <w:numFmt w:val="lowerRoman"/>
      <w:lvlText w:val="%9."/>
      <w:lvlJc w:val="left"/>
      <w:pPr>
        <w:ind w:left="6480" w:hanging="360"/>
      </w:pPr>
    </w:lvl>
  </w:abstractNum>
  <w:abstractNum w:abstractNumId="99208">
    <w:nsid w:val="00A9920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lowerLetter"/>
      <w:lvlText w:val="%2."/>
      <w:lvlJc w:val="left"/>
      <w:pPr>
        <w:ind w:left="1440" w:hanging="360"/>
      </w:pPr>
    </w:lvl>
    <w:lvl w:ilvl="2">
      <w:start w:val="8"/>
      <w:numFmt w:val="lowerRoman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lowerLetter"/>
      <w:lvlText w:val="%5."/>
      <w:lvlJc w:val="left"/>
      <w:pPr>
        <w:ind w:left="3600" w:hanging="360"/>
      </w:pPr>
    </w:lvl>
    <w:lvl w:ilvl="5">
      <w:start w:val="8"/>
      <w:numFmt w:val="lowerRoman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lowerLetter"/>
      <w:lvlText w:val="%8."/>
      <w:lvlJc w:val="left"/>
      <w:pPr>
        <w:ind w:left="5760" w:hanging="360"/>
      </w:pPr>
    </w:lvl>
    <w:lvl w:ilvl="8">
      <w:start w:val="8"/>
      <w:numFmt w:val="lowerRoman"/>
      <w:lvlText w:val="%9."/>
      <w:lvlJc w:val="left"/>
      <w:pPr>
        <w:ind w:left="6480" w:hanging="360"/>
      </w:pPr>
    </w:lvl>
  </w:abstractNum>
  <w:abstractNum w:abstractNumId="99209">
    <w:nsid w:val="00A9920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lowerLetter"/>
      <w:lvlText w:val="%2."/>
      <w:lvlJc w:val="left"/>
      <w:pPr>
        <w:ind w:left="1440" w:hanging="360"/>
      </w:pPr>
    </w:lvl>
    <w:lvl w:ilvl="2">
      <w:start w:val="9"/>
      <w:numFmt w:val="lowerRoman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lowerLetter"/>
      <w:lvlText w:val="%5."/>
      <w:lvlJc w:val="left"/>
      <w:pPr>
        <w:ind w:left="3600" w:hanging="360"/>
      </w:pPr>
    </w:lvl>
    <w:lvl w:ilvl="5">
      <w:start w:val="9"/>
      <w:numFmt w:val="lowerRoman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lowerLetter"/>
      <w:lvlText w:val="%8."/>
      <w:lvlJc w:val="left"/>
      <w:pPr>
        <w:ind w:left="5760" w:hanging="360"/>
      </w:pPr>
    </w:lvl>
    <w:lvl w:ilvl="8">
      <w:start w:val="9"/>
      <w:numFmt w:val="lowerRoman"/>
      <w:lvlText w:val="%9."/>
      <w:lvlJc w:val="left"/>
      <w:pPr>
        <w:ind w:left="6480" w:hanging="360"/>
      </w:pPr>
    </w:lvl>
  </w:abstractNum>
  <w:abstractNum w:abstractNumId="992010">
    <w:nsid w:val="0A9920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lowerLetter"/>
      <w:lvlText w:val="%2."/>
      <w:lvlJc w:val="left"/>
      <w:pPr>
        <w:ind w:left="1440" w:hanging="360"/>
      </w:pPr>
    </w:lvl>
    <w:lvl w:ilvl="2">
      <w:start w:val="10"/>
      <w:numFmt w:val="lowerRoman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lowerLetter"/>
      <w:lvlText w:val="%5."/>
      <w:lvlJc w:val="left"/>
      <w:pPr>
        <w:ind w:left="3600" w:hanging="360"/>
      </w:pPr>
    </w:lvl>
    <w:lvl w:ilvl="5">
      <w:start w:val="10"/>
      <w:numFmt w:val="lowerRoman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lowerLetter"/>
      <w:lvlText w:val="%8."/>
      <w:lvlJc w:val="left"/>
      <w:pPr>
        <w:ind w:left="5760" w:hanging="360"/>
      </w:pPr>
    </w:lvl>
    <w:lvl w:ilvl="8">
      <w:start w:val="10"/>
      <w:numFmt w:val="lowerRoman"/>
      <w:lvlText w:val="%9."/>
      <w:lvlJc w:val="left"/>
      <w:pPr>
        <w:ind w:left="6480" w:hanging="360"/>
      </w:pPr>
    </w:lvl>
  </w:abstractNum>
  <w:abstractNum w:abstractNumId="992011">
    <w:nsid w:val="0A9920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lowerLetter"/>
      <w:lvlText w:val="%2."/>
      <w:lvlJc w:val="left"/>
      <w:pPr>
        <w:ind w:left="1440" w:hanging="360"/>
      </w:pPr>
    </w:lvl>
    <w:lvl w:ilvl="2">
      <w:start w:val="11"/>
      <w:numFmt w:val="lowerRoman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lowerLetter"/>
      <w:lvlText w:val="%5."/>
      <w:lvlJc w:val="left"/>
      <w:pPr>
        <w:ind w:left="3600" w:hanging="360"/>
      </w:pPr>
    </w:lvl>
    <w:lvl w:ilvl="5">
      <w:start w:val="11"/>
      <w:numFmt w:val="lowerRoman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lowerLetter"/>
      <w:lvlText w:val="%8."/>
      <w:lvlJc w:val="left"/>
      <w:pPr>
        <w:ind w:left="5760" w:hanging="360"/>
      </w:pPr>
    </w:lvl>
    <w:lvl w:ilvl="8">
      <w:start w:val="11"/>
      <w:numFmt w:val="lowerRoman"/>
      <w:lvlText w:val="%9."/>
      <w:lvlJc w:val="left"/>
      <w:pPr>
        <w:ind w:left="6480" w:hanging="360"/>
      </w:pPr>
    </w:lvl>
  </w:abstractNum>
  <w:abstractNum w:abstractNumId="992012">
    <w:nsid w:val="0A9920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lowerLetter"/>
      <w:lvlText w:val="%2."/>
      <w:lvlJc w:val="left"/>
      <w:pPr>
        <w:ind w:left="1440" w:hanging="360"/>
      </w:pPr>
    </w:lvl>
    <w:lvl w:ilvl="2">
      <w:start w:val="12"/>
      <w:numFmt w:val="lowerRoman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lowerLetter"/>
      <w:lvlText w:val="%5."/>
      <w:lvlJc w:val="left"/>
      <w:pPr>
        <w:ind w:left="3600" w:hanging="360"/>
      </w:pPr>
    </w:lvl>
    <w:lvl w:ilvl="5">
      <w:start w:val="12"/>
      <w:numFmt w:val="lowerRoman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lowerLetter"/>
      <w:lvlText w:val="%8."/>
      <w:lvlJc w:val="left"/>
      <w:pPr>
        <w:ind w:left="5760" w:hanging="360"/>
      </w:pPr>
    </w:lvl>
    <w:lvl w:ilvl="8">
      <w:start w:val="12"/>
      <w:numFmt w:val="lowerRoman"/>
      <w:lvlText w:val="%9."/>
      <w:lvlJc w:val="left"/>
      <w:pPr>
        <w:ind w:left="6480" w:hanging="360"/>
      </w:pPr>
    </w:lvl>
  </w:abstractNum>
  <w:abstractNum w:abstractNumId="992013">
    <w:nsid w:val="0A9920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lowerLetter"/>
      <w:lvlText w:val="%2."/>
      <w:lvlJc w:val="left"/>
      <w:pPr>
        <w:ind w:left="1440" w:hanging="360"/>
      </w:pPr>
    </w:lvl>
    <w:lvl w:ilvl="2">
      <w:start w:val="13"/>
      <w:numFmt w:val="lowerRoman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lowerLetter"/>
      <w:lvlText w:val="%5."/>
      <w:lvlJc w:val="left"/>
      <w:pPr>
        <w:ind w:left="3600" w:hanging="360"/>
      </w:pPr>
    </w:lvl>
    <w:lvl w:ilvl="5">
      <w:start w:val="13"/>
      <w:numFmt w:val="lowerRoman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lowerLetter"/>
      <w:lvlText w:val="%8."/>
      <w:lvlJc w:val="left"/>
      <w:pPr>
        <w:ind w:left="5760" w:hanging="360"/>
      </w:pPr>
    </w:lvl>
    <w:lvl w:ilvl="8">
      <w:start w:val="13"/>
      <w:numFmt w:val="lowerRoman"/>
      <w:lvlText w:val="%9."/>
      <w:lvlJc w:val="left"/>
      <w:pPr>
        <w:ind w:left="6480" w:hanging="360"/>
      </w:pPr>
    </w:lvl>
  </w:abstractNum>
  <w:abstractNum w:abstractNumId="992014">
    <w:nsid w:val="0A9920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lowerLetter"/>
      <w:lvlText w:val="%2."/>
      <w:lvlJc w:val="left"/>
      <w:pPr>
        <w:ind w:left="1440" w:hanging="360"/>
      </w:pPr>
    </w:lvl>
    <w:lvl w:ilvl="2">
      <w:start w:val="14"/>
      <w:numFmt w:val="lowerRoman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lowerLetter"/>
      <w:lvlText w:val="%5."/>
      <w:lvlJc w:val="left"/>
      <w:pPr>
        <w:ind w:left="3600" w:hanging="360"/>
      </w:pPr>
    </w:lvl>
    <w:lvl w:ilvl="5">
      <w:start w:val="14"/>
      <w:numFmt w:val="lowerRoman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lowerLetter"/>
      <w:lvlText w:val="%8."/>
      <w:lvlJc w:val="left"/>
      <w:pPr>
        <w:ind w:left="5760" w:hanging="360"/>
      </w:pPr>
    </w:lvl>
    <w:lvl w:ilvl="8">
      <w:start w:val="14"/>
      <w:numFmt w:val="lowerRoman"/>
      <w:lvlText w:val="%9."/>
      <w:lvlJc w:val="left"/>
      <w:pPr>
        <w:ind w:left="6480" w:hanging="360"/>
      </w:pPr>
    </w:lvl>
  </w:abstractNum>
  <w:abstractNum w:abstractNumId="992015">
    <w:nsid w:val="0A9920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lowerLetter"/>
      <w:lvlText w:val="%2."/>
      <w:lvlJc w:val="left"/>
      <w:pPr>
        <w:ind w:left="1440" w:hanging="360"/>
      </w:pPr>
    </w:lvl>
    <w:lvl w:ilvl="2">
      <w:start w:val="15"/>
      <w:numFmt w:val="lowerRoman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lowerLetter"/>
      <w:lvlText w:val="%5."/>
      <w:lvlJc w:val="left"/>
      <w:pPr>
        <w:ind w:left="3600" w:hanging="360"/>
      </w:pPr>
    </w:lvl>
    <w:lvl w:ilvl="5">
      <w:start w:val="15"/>
      <w:numFmt w:val="lowerRoman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lowerLetter"/>
      <w:lvlText w:val="%8."/>
      <w:lvlJc w:val="left"/>
      <w:pPr>
        <w:ind w:left="5760" w:hanging="360"/>
      </w:pPr>
    </w:lvl>
    <w:lvl w:ilvl="8">
      <w:start w:val="15"/>
      <w:numFmt w:val="lowerRoman"/>
      <w:lvlText w:val="%9."/>
      <w:lvlJc w:val="left"/>
      <w:pPr>
        <w:ind w:left="6480" w:hanging="360"/>
      </w:pPr>
    </w:lvl>
  </w:abstractNum>
  <w:abstractNum w:abstractNumId="992016">
    <w:nsid w:val="0A9920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lowerLetter"/>
      <w:lvlText w:val="%2."/>
      <w:lvlJc w:val="left"/>
      <w:pPr>
        <w:ind w:left="1440" w:hanging="360"/>
      </w:pPr>
    </w:lvl>
    <w:lvl w:ilvl="2">
      <w:start w:val="16"/>
      <w:numFmt w:val="lowerRoman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lowerLetter"/>
      <w:lvlText w:val="%5."/>
      <w:lvlJc w:val="left"/>
      <w:pPr>
        <w:ind w:left="3600" w:hanging="360"/>
      </w:pPr>
    </w:lvl>
    <w:lvl w:ilvl="5">
      <w:start w:val="16"/>
      <w:numFmt w:val="lowerRoman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lowerLetter"/>
      <w:lvlText w:val="%8."/>
      <w:lvlJc w:val="left"/>
      <w:pPr>
        <w:ind w:left="5760" w:hanging="360"/>
      </w:pPr>
    </w:lvl>
    <w:lvl w:ilvl="8">
      <w:start w:val="16"/>
      <w:numFmt w:val="lowerRoman"/>
      <w:lvlText w:val="%9."/>
      <w:lvlJc w:val="left"/>
      <w:pPr>
        <w:ind w:left="6480" w:hanging="360"/>
      </w:pPr>
    </w:lvl>
  </w:abstractNum>
  <w:abstractNum w:abstractNumId="992017">
    <w:nsid w:val="0A9920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lowerLetter"/>
      <w:lvlText w:val="%2."/>
      <w:lvlJc w:val="left"/>
      <w:pPr>
        <w:ind w:left="1440" w:hanging="360"/>
      </w:pPr>
    </w:lvl>
    <w:lvl w:ilvl="2">
      <w:start w:val="17"/>
      <w:numFmt w:val="lowerRoman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lowerLetter"/>
      <w:lvlText w:val="%5."/>
      <w:lvlJc w:val="left"/>
      <w:pPr>
        <w:ind w:left="3600" w:hanging="360"/>
      </w:pPr>
    </w:lvl>
    <w:lvl w:ilvl="5">
      <w:start w:val="17"/>
      <w:numFmt w:val="lowerRoman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lowerLetter"/>
      <w:lvlText w:val="%8."/>
      <w:lvlJc w:val="left"/>
      <w:pPr>
        <w:ind w:left="5760" w:hanging="360"/>
      </w:pPr>
    </w:lvl>
    <w:lvl w:ilvl="8">
      <w:start w:val="17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2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2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2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2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2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2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8">
    <w:abstractNumId w:val="991"/>
  </w:num>
  <w:num w:numId="1019">
    <w:abstractNumId w:val="992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0">
    <w:abstractNumId w:val="991"/>
  </w:num>
  <w:num w:numId="1021">
    <w:abstractNumId w:val="992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2">
    <w:abstractNumId w:val="991"/>
  </w:num>
  <w:num w:numId="1023">
    <w:abstractNumId w:val="992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1"/>
  </w:num>
  <w:num w:numId="1025">
    <w:abstractNumId w:val="992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6">
    <w:abstractNumId w:val="991"/>
  </w:num>
  <w:num w:numId="1027">
    <w:abstractNumId w:val="992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8">
    <w:abstractNumId w:val="991"/>
  </w:num>
  <w:num w:numId="1029">
    <w:abstractNumId w:val="992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30">
    <w:abstractNumId w:val="991"/>
  </w:num>
  <w:num w:numId="1031">
    <w:abstractNumId w:val="992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32">
    <w:abstractNumId w:val="991"/>
  </w:num>
  <w:num w:numId="1033">
    <w:abstractNumId w:val="9920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0" w:before="0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b/>
      <w:bCs/>
      <w:color w:val="000000"/>
      <w:sz w:val="44"/>
      <w:szCs w:val="44"/>
    </w:rPr>
  </w:style>
  <w:style w:styleId="Heading2" w:type="paragraph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after="80" w:before="240"/>
      <w:outlineLvl w:val="1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Heading3" w:type="paragraph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after="8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unhideWhenUsed/>
    <w:qFormat/>
    <w:rsid w:val="00A10FD9"/>
    <w:pPr>
      <w:keepNext/>
      <w:keepLines/>
      <w:spacing w:after="60" w:before="160"/>
      <w:outlineLvl w:val="3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unhideWhenUsed/>
    <w:qFormat/>
    <w:rsid w:val="00A10FD9"/>
    <w:pPr>
      <w:keepNext/>
      <w:keepLines/>
      <w:spacing w:after="60" w:before="160"/>
      <w:outlineLvl w:val="4"/>
    </w:pPr>
    <w:rPr>
      <w:rFonts w:asciiTheme="majorHAnsi" w:cstheme="majorBidi" w:eastAsiaTheme="majorEastAsia" w:hAnsiTheme="majorHAnsi"/>
      <w:b/>
      <w:bCs/>
      <w:color w:val="000000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unhideWhenUsed/>
    <w:qFormat/>
    <w:rsid w:val="00A10FD9"/>
    <w:pPr>
      <w:keepNext/>
      <w:keepLines/>
      <w:spacing w:after="40" w:before="120"/>
      <w:outlineLvl w:val="5"/>
    </w:pPr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styleId="Heading7" w:type="paragraph">
    <w:name w:val="heading 7"/>
    <w:basedOn w:val="Normal"/>
    <w:next w:val="BodyText"/>
    <w:link w:val="Heading7Char"/>
    <w:uiPriority w:val="9"/>
    <w:unhideWhenUsed/>
    <w:qFormat/>
    <w:rsid w:val="00A10FD9"/>
    <w:pPr>
      <w:keepNext/>
      <w:keepLines/>
      <w:spacing w:after="40" w:before="120"/>
      <w:outlineLvl w:val="6"/>
    </w:pPr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styleId="Heading8" w:type="paragraph">
    <w:name w:val="heading 8"/>
    <w:basedOn w:val="Normal"/>
    <w:next w:val="BodyText"/>
    <w:link w:val="Heading8Char"/>
    <w:uiPriority w:val="9"/>
    <w:unhideWhenUsed/>
    <w:qFormat/>
    <w:rsid w:val="00A10FD9"/>
    <w:pPr>
      <w:keepNext/>
      <w:keepLines/>
      <w:spacing w:after="40" w:before="120"/>
      <w:outlineLvl w:val="7"/>
    </w:pPr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styleId="Heading9" w:type="paragraph">
    <w:name w:val="heading 9"/>
    <w:basedOn w:val="Normal"/>
    <w:next w:val="BodyText"/>
    <w:link w:val="Heading9Char"/>
    <w:uiPriority w:val="9"/>
    <w:unhideWhenUsed/>
    <w:qFormat/>
    <w:rsid w:val="00A10FD9"/>
    <w:pPr>
      <w:keepNext/>
      <w:keepLines/>
      <w:spacing w:after="40" w:before="120"/>
      <w:outlineLvl w:val="8"/>
    </w:pPr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44"/>
      <w:szCs w:val="44"/>
    </w:rPr>
  </w:style>
  <w:style w:customStyle="1" w:styleId="Heading2Char" w:type="character">
    <w:name w:val="Heading 2 Char"/>
    <w:basedOn w:val="DefaultParagraphFont"/>
    <w:link w:val="Heading2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customStyle="1" w:styleId="Heading3Char" w:type="character">
    <w:name w:val="Heading 3 Char"/>
    <w:basedOn w:val="DefaultParagraphFont"/>
    <w:link w:val="Heading3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customStyle="1" w:styleId="Heading5Char" w:type="character">
    <w:name w:val="Heading 5 Char"/>
    <w:basedOn w:val="DefaultParagraphFont"/>
    <w:link w:val="Heading5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2"/>
      <w:szCs w:val="22"/>
    </w:rPr>
  </w:style>
  <w:style w:customStyle="1" w:styleId="Heading6Char" w:type="character">
    <w:name w:val="Heading 6 Char"/>
    <w:basedOn w:val="DefaultParagraphFont"/>
    <w:link w:val="Heading6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customStyle="1" w:styleId="Heading7Char" w:type="character">
    <w:name w:val="Heading 7 Char"/>
    <w:basedOn w:val="DefaultParagraphFont"/>
    <w:link w:val="Heading7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customStyle="1" w:styleId="Heading8Char" w:type="character">
    <w:name w:val="Heading 8 Char"/>
    <w:basedOn w:val="DefaultParagraphFont"/>
    <w:link w:val="Heading8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customStyle="1" w:styleId="Heading9Char" w:type="character">
    <w:name w:val="Heading 9 Char"/>
    <w:basedOn w:val="DefaultParagraphFont"/>
    <w:link w:val="Heading9"/>
    <w:uiPriority w:val="9"/>
    <w:rsid w:val="00A10FD9"/>
    <w:rPr>
      <w:rFonts w:asciiTheme="majorHAnsi" w:cstheme="majorBidi" w:eastAsiaTheme="majorEastAsia" w:hAnsiTheme="majorHAnsi"/>
      <w:b/>
      <w:bCs/>
      <w:color w:val="000000"/>
      <w:sz w:val="21"/>
      <w:szCs w:val="21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CCCCCC" w:space="12" w:sz="18" w:val="single"/>
      </w:pBdr>
    </w:pPr>
    <w:rPr>
      <w:color w:val="999999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55"/>
        <w:left w:type="dxa" w:w="108"/>
        <w:bottom w:type="dxa" w:w="55"/>
        <w:right w:type="dxa" w:w="108"/>
      </w:tblCellMar>
    </w:tblPr>
    <w:tblStylePr w:type="firstRow">
      <w:rPr>
        <w:b/>
        <w:bCs/>
      </w:rPr>
      <w:tcPr>
        <w:tcBorders>
          <w:bottom w:color="000000" w:space="0" w:sz="8" w:val="single"/>
        </w:tcBorders>
        <w:vAlign w:val="bottom"/>
      </w:tcPr>
    </w:tblStylePr>
  </w:style>
  <w:style w:customStyle="1" w:styleId="BorderlessTable" w:type="table">
    <w:name w:val="BorderlessTable"/>
    <w:tblPr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auto" w:space="0" w:sz="0" w:val="none"/>
        <w:insideV w:color="auto" w:space="0" w:sz="0" w:val="none"/>
      </w:tblBorders>
      <w:tblCellMar>
        <w:top w:type="dxa" w:w="0"/>
        <w:left w:type="dxa" w:w="0"/>
        <w:bottom w:type="dxa" w:w="0"/>
        <w:right w:type="dxa" w:w="0"/>
      </w:tblCellMar>
    </w:tbl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uiPriority w:val="9"/>
    <w:qFormat/>
    <w:pPr>
      <w:spacing w:after="100" w:before="100"/>
      <w:shd w:color="auto" w:fill="F0F0F0" w:val="clear"/>
      <w:ind w:left="240" w:right="240"/>
    </w:pPr>
    <w:rPr>
      <w:rFonts w:ascii="Consolas" w:hAnsi="Consolas"/>
      <w:sz w:val="22"/>
      <w:color w:val="333333"/>
    </w:rPr>
  </w:style>
  <w:style w:customStyle="1" w:styleId="VerbatimChar" w:type="character">
    <w:name w:val="Verbatim Char"/>
    <w:basedOn w:val="BodyTextChar"/>
    <w:rPr>
      <w:rFonts w:ascii="Consolas" w:hAnsi="Consolas"/>
      <w:sz w:val="22"/>
      <w:shd w:color="auto" w:fill="F0F0F0" w:val="clear"/>
      <w:color w:val="333333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<Relationships xmlns="http://schemas.openxmlformats.org/package/2006/relationships"><Relationship Id="rId1" Target="comments.xml" Type="http://schemas.openxmlformats.org/officeDocument/2006/relationships/comments"/><Relationship Id="rId2" Target="footnotes.xml" Type="http://schemas.openxmlformats.org/officeDocument/2006/relationships/footnotes"/><Relationship Id="rId3" Target="theme/theme1.xml" Type="http://schemas.openxmlformats.org/officeDocument/2006/relationships/theme"/><Relationship Id="rId4" Target="fontTable.xml" Type="http://schemas.openxmlformats.org/officeDocument/2006/relationships/fontTable"/><Relationship Id="rId5" Target="webSettings.xml" Type="http://schemas.openxmlformats.org/officeDocument/2006/relationships/webSettings"/><Relationship Id="rId6" Target="settings.xml" Type="http://schemas.openxmlformats.org/officeDocument/2006/relationships/settings"/><Relationship Id="rId7" Target="styles.xml" Type="http://schemas.openxmlformats.org/officeDocument/2006/relationships/styles"/><Relationship Id="rId8" Target="numbering.xml" Type="http://schemas.openxmlformats.org/officeDocument/2006/relationships/numberi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2026-09-05T07:30:51Z</dcterms:created>
  <dcterms:modified xsi:type="dcterms:W3CDTF">2026-09-05T07:30:51Z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IGC" pid="2">
    <vt:lpwstr>{"ContentPropagator":"001191440101MA9Y9T4H7A00000","Label":"1","ReservedCode1":"PWUivh7+OL4cTxNhE6YzTJLEqOfkaE1DuTnJGd6gVJ8=","ProduceID":"doc_sgs:e74e18a8-c0fc-4508-90af-e21a391696aa","ReservedCode2":"PWUivh7+OL4cTxNhE6YzTJLEqOfkaE1DuTnJGd6gVJ8=","PropagateID":"doc_sgs:e74e18a8-c0fc-4508-90af-e21a391696aa","ContentProducer":"001191440101MA9Y9T4H7A00000"}</vt:lpwstr>
  </property>
</Properties>
</file>